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0C5" w:rsidRDefault="001760C5">
      <w:pPr>
        <w:rPr>
          <w:b/>
          <w:sz w:val="24"/>
          <w:szCs w:val="24"/>
          <w:lang w:val="en-IE"/>
        </w:rPr>
      </w:pPr>
      <w:r>
        <w:rPr>
          <w:b/>
          <w:sz w:val="24"/>
          <w:szCs w:val="24"/>
          <w:lang w:val="en-IE"/>
        </w:rPr>
        <w:t>To:  Research Ethics Committees using the Research Ethics Committee Standard Application Form (RECSAF)</w:t>
      </w:r>
    </w:p>
    <w:p w:rsidR="009070C3" w:rsidRPr="009070C3" w:rsidRDefault="009070C3">
      <w:pPr>
        <w:rPr>
          <w:b/>
          <w:sz w:val="24"/>
          <w:szCs w:val="24"/>
          <w:lang w:val="en-IE"/>
        </w:rPr>
      </w:pPr>
    </w:p>
    <w:p w:rsidR="007811EC" w:rsidRDefault="007811EC">
      <w:pPr>
        <w:rPr>
          <w:b/>
          <w:sz w:val="24"/>
          <w:szCs w:val="24"/>
          <w:u w:val="single"/>
          <w:lang w:val="en-IE"/>
        </w:rPr>
      </w:pPr>
      <w:r w:rsidRPr="007C7D74">
        <w:rPr>
          <w:b/>
          <w:sz w:val="24"/>
          <w:szCs w:val="24"/>
          <w:u w:val="single"/>
          <w:lang w:val="en-IE"/>
        </w:rPr>
        <w:t>Notif</w:t>
      </w:r>
      <w:r w:rsidR="00907C9B">
        <w:rPr>
          <w:b/>
          <w:sz w:val="24"/>
          <w:szCs w:val="24"/>
          <w:u w:val="single"/>
          <w:lang w:val="en-IE"/>
        </w:rPr>
        <w:t>ication of Substantial Change</w:t>
      </w:r>
    </w:p>
    <w:p w:rsidR="00BC7D05" w:rsidRDefault="007811EC">
      <w:pPr>
        <w:rPr>
          <w:b/>
          <w:sz w:val="24"/>
          <w:szCs w:val="24"/>
          <w:lang w:val="en-IE"/>
        </w:rPr>
      </w:pPr>
      <w:r>
        <w:rPr>
          <w:sz w:val="24"/>
          <w:szCs w:val="24"/>
          <w:lang w:val="en-IE"/>
        </w:rPr>
        <w:t>Pleas</w:t>
      </w:r>
      <w:r w:rsidR="00EA7B1E">
        <w:rPr>
          <w:sz w:val="24"/>
          <w:szCs w:val="24"/>
          <w:lang w:val="en-IE"/>
        </w:rPr>
        <w:t xml:space="preserve">e find below notification of </w:t>
      </w:r>
      <w:r w:rsidR="003D655F" w:rsidRPr="003D655F">
        <w:rPr>
          <w:rFonts w:asciiTheme="majorHAnsi" w:hAnsiTheme="majorHAnsi" w:cstheme="majorHAnsi"/>
          <w:b/>
          <w:color w:val="AC04A0"/>
          <w:spacing w:val="5"/>
        </w:rPr>
        <w:t>substantial changes</w:t>
      </w:r>
      <w:r>
        <w:rPr>
          <w:sz w:val="24"/>
          <w:szCs w:val="24"/>
          <w:lang w:val="en-IE"/>
        </w:rPr>
        <w:t xml:space="preserve"> to one of the versions of the Research Ethics Committee Standard Application currently in circulation.</w:t>
      </w:r>
    </w:p>
    <w:p w:rsidR="004717B2" w:rsidRDefault="004717B2" w:rsidP="004717B2">
      <w:pPr>
        <w:rPr>
          <w:b/>
          <w:sz w:val="24"/>
          <w:szCs w:val="24"/>
          <w:u w:val="single"/>
          <w:lang w:val="en-IE"/>
        </w:rPr>
      </w:pPr>
    </w:p>
    <w:p w:rsidR="004717B2" w:rsidRPr="004717B2" w:rsidRDefault="004717B2" w:rsidP="004717B2">
      <w:pPr>
        <w:rPr>
          <w:b/>
          <w:sz w:val="24"/>
          <w:szCs w:val="24"/>
          <w:u w:val="single"/>
          <w:lang w:val="en-IE"/>
        </w:rPr>
      </w:pPr>
      <w:r w:rsidRPr="004717B2">
        <w:rPr>
          <w:b/>
          <w:sz w:val="24"/>
          <w:szCs w:val="24"/>
          <w:u w:val="single"/>
          <w:lang w:val="en-IE"/>
        </w:rPr>
        <w:t>Context:</w:t>
      </w:r>
    </w:p>
    <w:p w:rsidR="004717B2" w:rsidRPr="00BC7D05" w:rsidRDefault="004717B2" w:rsidP="004717B2">
      <w:pPr>
        <w:rPr>
          <w:b/>
          <w:sz w:val="24"/>
          <w:szCs w:val="24"/>
          <w:lang w:val="en-IE"/>
        </w:rPr>
      </w:pPr>
      <w:r>
        <w:rPr>
          <w:lang w:val="en-IE"/>
        </w:rPr>
        <w:t xml:space="preserve">Substantial Changes necessitated as a result of </w:t>
      </w:r>
      <w:r w:rsidRPr="00907C9B">
        <w:rPr>
          <w:lang w:val="en-IE"/>
        </w:rPr>
        <w:t>Data Protection Act 2018 (Section 36 (2)) (Health Research</w:t>
      </w:r>
      <w:r>
        <w:rPr>
          <w:lang w:val="en-IE"/>
        </w:rPr>
        <w:t>) (Amendment) Regulations 2021</w:t>
      </w:r>
    </w:p>
    <w:p w:rsidR="004717B2" w:rsidRDefault="004717B2">
      <w:pPr>
        <w:rPr>
          <w:b/>
          <w:sz w:val="24"/>
          <w:szCs w:val="24"/>
          <w:u w:val="single"/>
          <w:lang w:val="en-IE"/>
        </w:rPr>
      </w:pPr>
    </w:p>
    <w:p w:rsidR="007811EC" w:rsidRPr="007811EC" w:rsidRDefault="007050C0">
      <w:pPr>
        <w:rPr>
          <w:b/>
          <w:sz w:val="24"/>
          <w:szCs w:val="24"/>
          <w:u w:val="single"/>
          <w:lang w:val="en-IE"/>
        </w:rPr>
      </w:pPr>
      <w:r>
        <w:rPr>
          <w:b/>
          <w:sz w:val="24"/>
          <w:szCs w:val="24"/>
          <w:u w:val="single"/>
          <w:lang w:val="en-IE"/>
        </w:rPr>
        <w:t xml:space="preserve">Document changed: </w:t>
      </w:r>
      <w:r w:rsidR="007811EC">
        <w:rPr>
          <w:b/>
          <w:sz w:val="24"/>
          <w:szCs w:val="24"/>
          <w:u w:val="single"/>
          <w:lang w:val="en-IE"/>
        </w:rPr>
        <w:t xml:space="preserve">  </w:t>
      </w:r>
    </w:p>
    <w:p w:rsidR="007C7D74" w:rsidRPr="00C0626C" w:rsidRDefault="007C7D74" w:rsidP="00263A74">
      <w:r w:rsidRPr="00C0626C">
        <w:t>RESEARCH ETHICS STANDARD APPLICATION FORM (RECSAF) 5.6</w:t>
      </w:r>
    </w:p>
    <w:p w:rsidR="004717B2" w:rsidRPr="004717B2" w:rsidRDefault="007C7D74">
      <w:pPr>
        <w:rPr>
          <w:lang w:val="en-IE"/>
        </w:rPr>
      </w:pPr>
      <w:r>
        <w:rPr>
          <w:lang w:val="en-IE"/>
        </w:rPr>
        <w:t>ADAPTED VERSION – Aug 2018,</w:t>
      </w:r>
      <w:r w:rsidR="007811EC">
        <w:rPr>
          <w:lang w:val="en-IE"/>
        </w:rPr>
        <w:t xml:space="preserve"> Edited 31.8.18 © RCSI/Beaumont</w:t>
      </w:r>
    </w:p>
    <w:tbl>
      <w:tblPr>
        <w:tblStyle w:val="TableGrid"/>
        <w:tblW w:w="9463" w:type="dxa"/>
        <w:tblLook w:val="04A0" w:firstRow="1" w:lastRow="0" w:firstColumn="1" w:lastColumn="0" w:noHBand="0" w:noVBand="1"/>
      </w:tblPr>
      <w:tblGrid>
        <w:gridCol w:w="4815"/>
        <w:gridCol w:w="4648"/>
      </w:tblGrid>
      <w:tr w:rsidR="009070C3" w:rsidTr="003D655F">
        <w:tc>
          <w:tcPr>
            <w:tcW w:w="4815" w:type="dxa"/>
          </w:tcPr>
          <w:p w:rsidR="009070C3" w:rsidRPr="00196C84" w:rsidRDefault="009070C3">
            <w:pPr>
              <w:rPr>
                <w:b/>
                <w:lang w:val="en-IE"/>
              </w:rPr>
            </w:pPr>
            <w:r w:rsidRPr="00196C84">
              <w:rPr>
                <w:b/>
                <w:lang w:val="en-IE"/>
              </w:rPr>
              <w:t>Change</w:t>
            </w:r>
          </w:p>
        </w:tc>
        <w:tc>
          <w:tcPr>
            <w:tcW w:w="4648" w:type="dxa"/>
          </w:tcPr>
          <w:p w:rsidR="009070C3" w:rsidRPr="00196C84" w:rsidRDefault="007C259D">
            <w:pPr>
              <w:rPr>
                <w:b/>
                <w:lang w:val="en-IE"/>
              </w:rPr>
            </w:pPr>
            <w:r>
              <w:rPr>
                <w:b/>
                <w:lang w:val="en-IE"/>
              </w:rPr>
              <w:t>Rationale</w:t>
            </w:r>
          </w:p>
        </w:tc>
      </w:tr>
      <w:tr w:rsidR="009070C3" w:rsidTr="003D655F">
        <w:tc>
          <w:tcPr>
            <w:tcW w:w="4815" w:type="dxa"/>
          </w:tcPr>
          <w:p w:rsidR="00396635" w:rsidRDefault="00907C9B" w:rsidP="009070C3">
            <w:pPr>
              <w:rPr>
                <w:lang w:val="en-IE"/>
              </w:rPr>
            </w:pPr>
            <w:r>
              <w:rPr>
                <w:lang w:val="en-IE"/>
              </w:rPr>
              <w:t>Add new question:</w:t>
            </w:r>
          </w:p>
          <w:p w:rsidR="00907C9B" w:rsidRDefault="00907C9B" w:rsidP="009070C3">
            <w:pPr>
              <w:rPr>
                <w:lang w:val="en-IE"/>
              </w:rPr>
            </w:pPr>
          </w:p>
          <w:p w:rsidR="00907C9B" w:rsidRPr="00C0626C" w:rsidRDefault="00907C9B" w:rsidP="009070C3">
            <w:pPr>
              <w:rPr>
                <w:lang w:val="en-IE"/>
              </w:rPr>
            </w:pPr>
            <w:r>
              <w:rPr>
                <w:lang w:val="en-IE"/>
              </w:rPr>
              <w:t>“</w:t>
            </w:r>
            <w:r w:rsidRPr="00907C9B">
              <w:rPr>
                <w:lang w:val="en-IE"/>
              </w:rPr>
              <w:t>E1.1 (c) If yes, please confirm that a copy of the ‘explicit consent’ will be provided to the data subject prior to the commencement of the health research.  This is mandatory requirement under the Data Protection Act 2018 (Section 36 (2)) (Health Research</w:t>
            </w:r>
            <w:r>
              <w:rPr>
                <w:lang w:val="en-IE"/>
              </w:rPr>
              <w:t>) (Amendment) Regulations 2021”</w:t>
            </w:r>
          </w:p>
          <w:p w:rsidR="009070C3" w:rsidRDefault="009070C3">
            <w:pPr>
              <w:rPr>
                <w:lang w:val="en-IE"/>
              </w:rPr>
            </w:pPr>
          </w:p>
        </w:tc>
        <w:tc>
          <w:tcPr>
            <w:tcW w:w="4648" w:type="dxa"/>
          </w:tcPr>
          <w:p w:rsidR="00907C9B" w:rsidRPr="00C0626C" w:rsidRDefault="00907C9B" w:rsidP="00907C9B">
            <w:pPr>
              <w:rPr>
                <w:lang w:val="en-IE"/>
              </w:rPr>
            </w:pPr>
            <w:r>
              <w:rPr>
                <w:lang w:val="en-IE"/>
              </w:rPr>
              <w:t xml:space="preserve">To reflect new requirement introduced under the Data Protection Act 2019 </w:t>
            </w:r>
            <w:r w:rsidRPr="00907C9B">
              <w:rPr>
                <w:lang w:val="en-IE"/>
              </w:rPr>
              <w:t>(Section 36 (2)) (Health Research</w:t>
            </w:r>
            <w:r>
              <w:rPr>
                <w:lang w:val="en-IE"/>
              </w:rPr>
              <w:t>) (Amendment) Regulations 2021”</w:t>
            </w:r>
          </w:p>
          <w:p w:rsidR="00907C9B" w:rsidRDefault="00907C9B">
            <w:pPr>
              <w:rPr>
                <w:lang w:val="en-IE"/>
              </w:rPr>
            </w:pPr>
          </w:p>
        </w:tc>
      </w:tr>
      <w:tr w:rsidR="00580F3A" w:rsidRPr="00616493" w:rsidTr="003D655F">
        <w:tc>
          <w:tcPr>
            <w:tcW w:w="4815" w:type="dxa"/>
          </w:tcPr>
          <w:p w:rsidR="00907C9B" w:rsidRDefault="00907C9B" w:rsidP="00907C9B">
            <w:pPr>
              <w:rPr>
                <w:lang w:val="en-IE"/>
              </w:rPr>
            </w:pPr>
            <w:r>
              <w:rPr>
                <w:lang w:val="en-IE"/>
              </w:rPr>
              <w:t xml:space="preserve">Add reference to  </w:t>
            </w:r>
          </w:p>
          <w:p w:rsidR="00907C9B" w:rsidRDefault="00907C9B" w:rsidP="00907C9B">
            <w:pPr>
              <w:rPr>
                <w:lang w:val="en-IE"/>
              </w:rPr>
            </w:pPr>
          </w:p>
          <w:p w:rsidR="00907C9B" w:rsidRDefault="00907C9B" w:rsidP="00907C9B">
            <w:pPr>
              <w:rPr>
                <w:lang w:val="en-IE"/>
              </w:rPr>
            </w:pPr>
            <w:r>
              <w:rPr>
                <w:lang w:val="en-IE"/>
              </w:rPr>
              <w:t>“</w:t>
            </w:r>
            <w:r w:rsidRPr="00907C9B">
              <w:rPr>
                <w:lang w:val="en-IE"/>
              </w:rPr>
              <w:t>an exemption under the Data Protection Act 2018 (Section 36 (2)) (Health Research) (Amen</w:t>
            </w:r>
            <w:r>
              <w:rPr>
                <w:lang w:val="en-IE"/>
              </w:rPr>
              <w:t>dment) Regulations 2021”</w:t>
            </w:r>
          </w:p>
          <w:p w:rsidR="00907C9B" w:rsidRDefault="00907C9B" w:rsidP="00907C9B">
            <w:pPr>
              <w:rPr>
                <w:lang w:val="en-IE"/>
              </w:rPr>
            </w:pPr>
          </w:p>
          <w:p w:rsidR="00907C9B" w:rsidRDefault="00907C9B" w:rsidP="00907C9B">
            <w:pPr>
              <w:rPr>
                <w:lang w:val="en-IE"/>
              </w:rPr>
            </w:pPr>
            <w:r>
              <w:rPr>
                <w:lang w:val="en-IE"/>
              </w:rPr>
              <w:t>(-various questions, Section C and E)</w:t>
            </w:r>
          </w:p>
          <w:p w:rsidR="00907C9B" w:rsidRDefault="00907C9B" w:rsidP="00907C9B">
            <w:pPr>
              <w:rPr>
                <w:lang w:val="en-IE"/>
              </w:rPr>
            </w:pPr>
          </w:p>
          <w:p w:rsidR="00907C9B" w:rsidRDefault="00907C9B" w:rsidP="00222441">
            <w:pPr>
              <w:rPr>
                <w:lang w:val="en-IE"/>
              </w:rPr>
            </w:pPr>
          </w:p>
          <w:p w:rsidR="00580F3A" w:rsidRPr="003C3D91" w:rsidRDefault="00580F3A" w:rsidP="00222441">
            <w:pPr>
              <w:rPr>
                <w:lang w:val="en-IE"/>
              </w:rPr>
            </w:pPr>
            <w:r w:rsidRPr="00F81F07">
              <w:rPr>
                <w:rFonts w:ascii="Verdana" w:hAnsi="Verdana"/>
                <w:color w:val="2E74B5" w:themeColor="accent1" w:themeShade="BF"/>
                <w:sz w:val="20"/>
                <w:szCs w:val="20"/>
              </w:rPr>
              <w:t xml:space="preserve">  </w:t>
            </w:r>
          </w:p>
        </w:tc>
        <w:tc>
          <w:tcPr>
            <w:tcW w:w="4648" w:type="dxa"/>
          </w:tcPr>
          <w:p w:rsidR="00580F3A" w:rsidRDefault="004A69F4" w:rsidP="00641D90">
            <w:pPr>
              <w:rPr>
                <w:lang w:val="en-IE"/>
              </w:rPr>
            </w:pPr>
            <w:r>
              <w:rPr>
                <w:lang w:val="en-IE"/>
              </w:rPr>
              <w:t xml:space="preserve">To reference exemptions </w:t>
            </w:r>
            <w:r w:rsidR="009D6006" w:rsidRPr="009D6006">
              <w:rPr>
                <w:u w:val="single"/>
                <w:lang w:val="en-IE"/>
              </w:rPr>
              <w:t xml:space="preserve">to the requirement for explicit consent prior to the commencement of the health research or a Health Research Consent Declaration Committee </w:t>
            </w:r>
            <w:r w:rsidR="009D6006">
              <w:rPr>
                <w:lang w:val="en-IE"/>
              </w:rPr>
              <w:t xml:space="preserve">as provided for </w:t>
            </w:r>
            <w:r w:rsidRPr="00907C9B">
              <w:rPr>
                <w:lang w:val="en-IE"/>
              </w:rPr>
              <w:t>under the Data Protection Act 2018 (Section 36 (2)) (Health Research) (Amen</w:t>
            </w:r>
            <w:r>
              <w:rPr>
                <w:lang w:val="en-IE"/>
              </w:rPr>
              <w:t>dment) Regulations 2021</w:t>
            </w:r>
          </w:p>
          <w:p w:rsidR="009D6006" w:rsidRDefault="009D6006" w:rsidP="009D6006">
            <w:pPr>
              <w:rPr>
                <w:sz w:val="20"/>
                <w:szCs w:val="20"/>
              </w:rPr>
            </w:pPr>
          </w:p>
          <w:p w:rsidR="009D6006" w:rsidRPr="009D6006" w:rsidRDefault="003D655F" w:rsidP="009D6006">
            <w:pPr>
              <w:rPr>
                <w:sz w:val="20"/>
                <w:szCs w:val="20"/>
                <w:u w:val="single"/>
              </w:rPr>
            </w:pPr>
            <w:r>
              <w:rPr>
                <w:sz w:val="20"/>
                <w:szCs w:val="20"/>
                <w:u w:val="single"/>
              </w:rPr>
              <w:t xml:space="preserve">Note:  the four </w:t>
            </w:r>
            <w:r w:rsidR="009D6006" w:rsidRPr="009D6006">
              <w:rPr>
                <w:sz w:val="20"/>
                <w:szCs w:val="20"/>
                <w:u w:val="single"/>
              </w:rPr>
              <w:t>Key exemptions relate to:</w:t>
            </w:r>
          </w:p>
          <w:p w:rsidR="009D6006" w:rsidRPr="009D6006" w:rsidRDefault="009D6006" w:rsidP="009D6006">
            <w:pPr>
              <w:pStyle w:val="ListParagraph"/>
              <w:numPr>
                <w:ilvl w:val="0"/>
                <w:numId w:val="29"/>
              </w:numPr>
              <w:spacing w:after="0" w:line="240" w:lineRule="auto"/>
              <w:rPr>
                <w:sz w:val="20"/>
                <w:szCs w:val="20"/>
              </w:rPr>
            </w:pPr>
            <w:r w:rsidRPr="009D6006">
              <w:rPr>
                <w:sz w:val="20"/>
                <w:szCs w:val="20"/>
              </w:rPr>
              <w:t>Pre-screening (subject to conditions)</w:t>
            </w:r>
          </w:p>
          <w:p w:rsidR="009D6006" w:rsidRPr="009D6006" w:rsidRDefault="009D6006" w:rsidP="009D6006">
            <w:pPr>
              <w:pStyle w:val="ListParagraph"/>
              <w:numPr>
                <w:ilvl w:val="0"/>
                <w:numId w:val="29"/>
              </w:numPr>
              <w:spacing w:after="0" w:line="240" w:lineRule="auto"/>
              <w:rPr>
                <w:sz w:val="20"/>
                <w:szCs w:val="20"/>
              </w:rPr>
            </w:pPr>
            <w:r>
              <w:rPr>
                <w:sz w:val="20"/>
                <w:szCs w:val="20"/>
              </w:rPr>
              <w:t xml:space="preserve">Low Risk </w:t>
            </w:r>
            <w:r w:rsidRPr="009D6006">
              <w:rPr>
                <w:sz w:val="20"/>
                <w:szCs w:val="20"/>
              </w:rPr>
              <w:t>Retrospective chart reviews (subject to conditions)</w:t>
            </w:r>
          </w:p>
          <w:p w:rsidR="009D6006" w:rsidRPr="009D6006" w:rsidRDefault="009D6006" w:rsidP="009D6006">
            <w:pPr>
              <w:pStyle w:val="ListParagraph"/>
              <w:numPr>
                <w:ilvl w:val="0"/>
                <w:numId w:val="29"/>
              </w:numPr>
              <w:spacing w:after="0" w:line="240" w:lineRule="auto"/>
              <w:rPr>
                <w:sz w:val="20"/>
                <w:szCs w:val="20"/>
              </w:rPr>
            </w:pPr>
            <w:r w:rsidRPr="009D6006">
              <w:rPr>
                <w:sz w:val="20"/>
                <w:szCs w:val="20"/>
              </w:rPr>
              <w:t>Deferred Consent</w:t>
            </w:r>
            <w:r>
              <w:rPr>
                <w:sz w:val="20"/>
                <w:szCs w:val="20"/>
              </w:rPr>
              <w:t xml:space="preserve"> in exceptional circumstances</w:t>
            </w:r>
            <w:r w:rsidRPr="009D6006">
              <w:rPr>
                <w:sz w:val="20"/>
                <w:szCs w:val="20"/>
              </w:rPr>
              <w:t xml:space="preserve"> (subject to conditions)</w:t>
            </w:r>
          </w:p>
          <w:p w:rsidR="009D6006" w:rsidRPr="009D6006" w:rsidRDefault="009D6006" w:rsidP="009D6006">
            <w:pPr>
              <w:pStyle w:val="ListParagraph"/>
              <w:numPr>
                <w:ilvl w:val="0"/>
                <w:numId w:val="29"/>
              </w:numPr>
              <w:spacing w:after="0" w:line="240" w:lineRule="auto"/>
              <w:rPr>
                <w:sz w:val="20"/>
                <w:szCs w:val="20"/>
              </w:rPr>
            </w:pPr>
            <w:r w:rsidRPr="009D6006">
              <w:rPr>
                <w:sz w:val="20"/>
                <w:szCs w:val="20"/>
              </w:rPr>
              <w:t>Consent previously obtained under the ’95 Directive (subject to conditions)</w:t>
            </w:r>
          </w:p>
          <w:p w:rsidR="009D6006" w:rsidRPr="009D6006" w:rsidRDefault="009D6006" w:rsidP="009D6006">
            <w:pPr>
              <w:rPr>
                <w:sz w:val="20"/>
                <w:szCs w:val="20"/>
              </w:rPr>
            </w:pPr>
          </w:p>
        </w:tc>
      </w:tr>
      <w:tr w:rsidR="003D655F" w:rsidRPr="00616493" w:rsidTr="003D655F">
        <w:tc>
          <w:tcPr>
            <w:tcW w:w="4815" w:type="dxa"/>
          </w:tcPr>
          <w:p w:rsidR="003D655F" w:rsidRDefault="003D655F" w:rsidP="00907C9B">
            <w:pPr>
              <w:rPr>
                <w:lang w:val="en-IE"/>
              </w:rPr>
            </w:pPr>
            <w:r>
              <w:rPr>
                <w:lang w:val="en-IE"/>
              </w:rPr>
              <w:t>Add phrase to C3.5 (b)</w:t>
            </w:r>
          </w:p>
          <w:p w:rsidR="003D655F" w:rsidRDefault="003D655F" w:rsidP="00907C9B">
            <w:pPr>
              <w:rPr>
                <w:lang w:val="en-IE"/>
              </w:rPr>
            </w:pPr>
            <w:r w:rsidRPr="003D655F">
              <w:rPr>
                <w:lang w:val="en-IE"/>
              </w:rPr>
              <w:t>(applicable to adults with a power of attorney, or who are wards of court only</w:t>
            </w:r>
            <w:r>
              <w:rPr>
                <w:lang w:val="en-IE"/>
              </w:rPr>
              <w:t>)</w:t>
            </w:r>
          </w:p>
        </w:tc>
        <w:tc>
          <w:tcPr>
            <w:tcW w:w="4648" w:type="dxa"/>
          </w:tcPr>
          <w:p w:rsidR="003D655F" w:rsidRDefault="003D655F" w:rsidP="00641D90">
            <w:pPr>
              <w:rPr>
                <w:lang w:val="en-IE"/>
              </w:rPr>
            </w:pPr>
            <w:r>
              <w:rPr>
                <w:lang w:val="en-IE"/>
              </w:rPr>
              <w:t>Explanatory purposes only</w:t>
            </w:r>
          </w:p>
          <w:p w:rsidR="003D655F" w:rsidRDefault="003D655F" w:rsidP="00641D90">
            <w:pPr>
              <w:rPr>
                <w:lang w:val="en-IE"/>
              </w:rPr>
            </w:pPr>
          </w:p>
          <w:p w:rsidR="003D655F" w:rsidRDefault="003D655F" w:rsidP="00641D90">
            <w:pPr>
              <w:rPr>
                <w:lang w:val="en-IE"/>
              </w:rPr>
            </w:pPr>
          </w:p>
        </w:tc>
      </w:tr>
      <w:tr w:rsidR="003D655F" w:rsidRPr="00616493" w:rsidTr="003D655F">
        <w:tc>
          <w:tcPr>
            <w:tcW w:w="4815" w:type="dxa"/>
          </w:tcPr>
          <w:p w:rsidR="003D655F" w:rsidRDefault="003D655F" w:rsidP="00907C9B">
            <w:pPr>
              <w:rPr>
                <w:lang w:val="en-IE"/>
              </w:rPr>
            </w:pPr>
            <w:r>
              <w:rPr>
                <w:lang w:val="en-IE"/>
              </w:rPr>
              <w:t xml:space="preserve">All changes formatted </w:t>
            </w:r>
            <w:r w:rsidRPr="003D655F">
              <w:rPr>
                <w:rFonts w:cstheme="minorHAnsi"/>
                <w:lang w:val="en-IE"/>
              </w:rPr>
              <w:t xml:space="preserve">in </w:t>
            </w:r>
            <w:r w:rsidRPr="003D655F">
              <w:rPr>
                <w:rFonts w:cstheme="minorHAnsi"/>
                <w:b/>
                <w:color w:val="AC04A0"/>
                <w:spacing w:val="5"/>
              </w:rPr>
              <w:t>coloured font</w:t>
            </w:r>
          </w:p>
        </w:tc>
        <w:tc>
          <w:tcPr>
            <w:tcW w:w="4648" w:type="dxa"/>
          </w:tcPr>
          <w:p w:rsidR="003D655F" w:rsidRDefault="003D655F" w:rsidP="00641D90">
            <w:pPr>
              <w:rPr>
                <w:lang w:val="en-IE"/>
              </w:rPr>
            </w:pPr>
            <w:r>
              <w:rPr>
                <w:lang w:val="en-IE"/>
              </w:rPr>
              <w:t>To distinguish changes</w:t>
            </w:r>
          </w:p>
        </w:tc>
      </w:tr>
    </w:tbl>
    <w:p w:rsidR="009070C3" w:rsidRDefault="009070C3" w:rsidP="00616493">
      <w:pPr>
        <w:rPr>
          <w:sz w:val="20"/>
          <w:szCs w:val="20"/>
          <w:lang w:val="en-IE"/>
        </w:rPr>
      </w:pPr>
    </w:p>
    <w:p w:rsidR="00C45D21" w:rsidRPr="00BC7D05" w:rsidRDefault="009C68D1" w:rsidP="00616493">
      <w:pPr>
        <w:rPr>
          <w:lang w:val="en-IE"/>
        </w:rPr>
      </w:pPr>
      <w:r>
        <w:rPr>
          <w:lang w:val="en-IE"/>
        </w:rPr>
        <w:lastRenderedPageBreak/>
        <w:t>No changes have been mad</w:t>
      </w:r>
      <w:r w:rsidR="00BC7D05">
        <w:rPr>
          <w:lang w:val="en-IE"/>
        </w:rPr>
        <w:t>e to the ‘Instructions for Use’</w:t>
      </w:r>
    </w:p>
    <w:p w:rsidR="00871D32" w:rsidRDefault="00871D32" w:rsidP="009070C3">
      <w:pPr>
        <w:rPr>
          <w:b/>
          <w:sz w:val="24"/>
          <w:szCs w:val="24"/>
          <w:lang w:val="en-IE"/>
        </w:rPr>
      </w:pPr>
    </w:p>
    <w:p w:rsidR="009070C3" w:rsidRPr="0053103C" w:rsidRDefault="004A69F4" w:rsidP="009070C3">
      <w:pPr>
        <w:rPr>
          <w:b/>
          <w:sz w:val="24"/>
          <w:szCs w:val="24"/>
          <w:lang w:val="en-IE"/>
        </w:rPr>
      </w:pPr>
      <w:r>
        <w:rPr>
          <w:b/>
          <w:sz w:val="24"/>
          <w:szCs w:val="24"/>
          <w:lang w:val="en-IE"/>
        </w:rPr>
        <w:t>Substantial Changes</w:t>
      </w:r>
    </w:p>
    <w:p w:rsidR="003D655F" w:rsidRDefault="004717B2" w:rsidP="009070C3">
      <w:pPr>
        <w:rPr>
          <w:b/>
          <w:sz w:val="24"/>
          <w:szCs w:val="24"/>
          <w:lang w:val="en-IE"/>
        </w:rPr>
      </w:pPr>
      <w:r>
        <w:rPr>
          <w:b/>
          <w:sz w:val="24"/>
          <w:szCs w:val="24"/>
          <w:lang w:val="en-IE"/>
        </w:rPr>
        <w:t>Date of Change:  8</w:t>
      </w:r>
      <w:r w:rsidRPr="004717B2">
        <w:rPr>
          <w:b/>
          <w:sz w:val="24"/>
          <w:szCs w:val="24"/>
          <w:vertAlign w:val="superscript"/>
          <w:lang w:val="en-IE"/>
        </w:rPr>
        <w:t>th</w:t>
      </w:r>
      <w:r>
        <w:rPr>
          <w:b/>
          <w:sz w:val="24"/>
          <w:szCs w:val="24"/>
          <w:lang w:val="en-IE"/>
        </w:rPr>
        <w:t xml:space="preserve"> </w:t>
      </w:r>
      <w:r w:rsidR="004A69F4">
        <w:rPr>
          <w:b/>
          <w:sz w:val="24"/>
          <w:szCs w:val="24"/>
          <w:lang w:val="en-IE"/>
        </w:rPr>
        <w:t>June 2021</w:t>
      </w:r>
    </w:p>
    <w:p w:rsidR="003D655F" w:rsidRPr="003D655F" w:rsidRDefault="003D655F" w:rsidP="003D655F">
      <w:pPr>
        <w:rPr>
          <w:sz w:val="24"/>
          <w:szCs w:val="24"/>
          <w:lang w:val="en-IE"/>
        </w:rPr>
      </w:pPr>
    </w:p>
    <w:p w:rsidR="003D655F" w:rsidRPr="003D655F" w:rsidRDefault="003D655F" w:rsidP="003D655F">
      <w:pPr>
        <w:rPr>
          <w:sz w:val="24"/>
          <w:szCs w:val="24"/>
          <w:lang w:val="en-IE"/>
        </w:rPr>
      </w:pPr>
    </w:p>
    <w:p w:rsidR="003D655F" w:rsidRPr="003D655F" w:rsidRDefault="003D655F" w:rsidP="003D655F">
      <w:pPr>
        <w:rPr>
          <w:sz w:val="24"/>
          <w:szCs w:val="24"/>
          <w:lang w:val="en-IE"/>
        </w:rPr>
      </w:pPr>
    </w:p>
    <w:p w:rsidR="003D655F" w:rsidRDefault="003D655F" w:rsidP="003D655F">
      <w:pPr>
        <w:rPr>
          <w:sz w:val="24"/>
          <w:szCs w:val="24"/>
          <w:lang w:val="en-IE"/>
        </w:rPr>
      </w:pPr>
    </w:p>
    <w:p w:rsidR="009070C3" w:rsidRPr="003D655F" w:rsidRDefault="009070C3" w:rsidP="003D655F">
      <w:pPr>
        <w:rPr>
          <w:sz w:val="24"/>
          <w:szCs w:val="24"/>
          <w:lang w:val="en-IE"/>
        </w:rPr>
      </w:pPr>
      <w:bookmarkStart w:id="0" w:name="_GoBack"/>
      <w:bookmarkEnd w:id="0"/>
    </w:p>
    <w:sectPr w:rsidR="009070C3" w:rsidRPr="003D65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F3A" w:rsidRDefault="00580F3A" w:rsidP="007C7D74">
      <w:pPr>
        <w:spacing w:after="0" w:line="240" w:lineRule="auto"/>
      </w:pPr>
      <w:r>
        <w:separator/>
      </w:r>
    </w:p>
  </w:endnote>
  <w:endnote w:type="continuationSeparator" w:id="0">
    <w:p w:rsidR="00580F3A" w:rsidRDefault="00580F3A" w:rsidP="007C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F3A" w:rsidRDefault="00580F3A" w:rsidP="007C7D74">
      <w:pPr>
        <w:spacing w:after="0" w:line="240" w:lineRule="auto"/>
      </w:pPr>
      <w:r>
        <w:separator/>
      </w:r>
    </w:p>
  </w:footnote>
  <w:footnote w:type="continuationSeparator" w:id="0">
    <w:p w:rsidR="00580F3A" w:rsidRDefault="00580F3A" w:rsidP="007C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97C"/>
    <w:multiLevelType w:val="hybridMultilevel"/>
    <w:tmpl w:val="4554F74A"/>
    <w:lvl w:ilvl="0" w:tplc="25963BC8">
      <w:start w:val="36"/>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62C3C"/>
    <w:multiLevelType w:val="hybridMultilevel"/>
    <w:tmpl w:val="712AF3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BF5EA0"/>
    <w:multiLevelType w:val="multilevel"/>
    <w:tmpl w:val="E0B40B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6351A"/>
    <w:multiLevelType w:val="hybridMultilevel"/>
    <w:tmpl w:val="FD38F1E0"/>
    <w:lvl w:ilvl="0" w:tplc="A3AC80B4">
      <w:numFmt w:val="bullet"/>
      <w:lvlText w:val="-"/>
      <w:lvlJc w:val="left"/>
      <w:pPr>
        <w:ind w:left="720" w:hanging="360"/>
      </w:pPr>
      <w:rPr>
        <w:rFonts w:ascii="Calibri" w:eastAsiaTheme="minorHAnsi" w:hAnsi="Calibri" w:cs="Calibr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01786A"/>
    <w:multiLevelType w:val="hybridMultilevel"/>
    <w:tmpl w:val="B8B22B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954ED7"/>
    <w:multiLevelType w:val="multilevel"/>
    <w:tmpl w:val="8E10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12FEA"/>
    <w:multiLevelType w:val="hybridMultilevel"/>
    <w:tmpl w:val="606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013E4"/>
    <w:multiLevelType w:val="multilevel"/>
    <w:tmpl w:val="865AB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A05525"/>
    <w:multiLevelType w:val="hybridMultilevel"/>
    <w:tmpl w:val="5DE22DBE"/>
    <w:lvl w:ilvl="0" w:tplc="25963BC8">
      <w:start w:val="36"/>
      <w:numFmt w:val="decimal"/>
      <w:lvlText w:val="%1."/>
      <w:lvlJc w:val="left"/>
      <w:pPr>
        <w:ind w:left="216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15:restartNumberingAfterBreak="0">
    <w:nsid w:val="24655D48"/>
    <w:multiLevelType w:val="hybridMultilevel"/>
    <w:tmpl w:val="D7C410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3A1424"/>
    <w:multiLevelType w:val="hybridMultilevel"/>
    <w:tmpl w:val="45E4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F123B"/>
    <w:multiLevelType w:val="hybridMultilevel"/>
    <w:tmpl w:val="377AA4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D776C6"/>
    <w:multiLevelType w:val="hybridMultilevel"/>
    <w:tmpl w:val="949A793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A4F5077"/>
    <w:multiLevelType w:val="hybridMultilevel"/>
    <w:tmpl w:val="5A282DDC"/>
    <w:lvl w:ilvl="0" w:tplc="B2862D2A">
      <w:start w:val="30"/>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E0734"/>
    <w:multiLevelType w:val="hybridMultilevel"/>
    <w:tmpl w:val="D756B8B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416B90"/>
    <w:multiLevelType w:val="hybridMultilevel"/>
    <w:tmpl w:val="7BEEC2D4"/>
    <w:lvl w:ilvl="0" w:tplc="E418037C">
      <w:start w:val="1"/>
      <w:numFmt w:val="decimal"/>
      <w:lvlText w:val="%1."/>
      <w:lvlJc w:val="left"/>
      <w:pPr>
        <w:tabs>
          <w:tab w:val="num" w:pos="3600"/>
        </w:tabs>
        <w:ind w:left="3600" w:hanging="360"/>
      </w:pPr>
      <w:rPr>
        <w:rFonts w:ascii="Times New Roman" w:eastAsia="Times New Roman" w:hAnsi="Times New Roman" w:cs="Times New Roman"/>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6" w15:restartNumberingAfterBreak="0">
    <w:nsid w:val="45E93EF4"/>
    <w:multiLevelType w:val="multilevel"/>
    <w:tmpl w:val="A26C9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9A38AB"/>
    <w:multiLevelType w:val="hybridMultilevel"/>
    <w:tmpl w:val="63BEDB92"/>
    <w:lvl w:ilvl="0" w:tplc="08090001">
      <w:start w:val="1"/>
      <w:numFmt w:val="bullet"/>
      <w:lvlText w:val=""/>
      <w:lvlJc w:val="left"/>
      <w:pPr>
        <w:tabs>
          <w:tab w:val="num" w:pos="3420"/>
        </w:tabs>
        <w:ind w:left="3420" w:hanging="360"/>
      </w:pPr>
      <w:rPr>
        <w:rFonts w:ascii="Symbol" w:hAnsi="Symbol" w:hint="default"/>
      </w:rPr>
    </w:lvl>
    <w:lvl w:ilvl="1" w:tplc="08090003" w:tentative="1">
      <w:start w:val="1"/>
      <w:numFmt w:val="bullet"/>
      <w:lvlText w:val="o"/>
      <w:lvlJc w:val="left"/>
      <w:pPr>
        <w:tabs>
          <w:tab w:val="num" w:pos="4140"/>
        </w:tabs>
        <w:ind w:left="4140" w:hanging="360"/>
      </w:pPr>
      <w:rPr>
        <w:rFonts w:ascii="Courier New" w:hAnsi="Courier New" w:cs="Courier New" w:hint="default"/>
      </w:rPr>
    </w:lvl>
    <w:lvl w:ilvl="2" w:tplc="08090005" w:tentative="1">
      <w:start w:val="1"/>
      <w:numFmt w:val="bullet"/>
      <w:lvlText w:val=""/>
      <w:lvlJc w:val="left"/>
      <w:pPr>
        <w:tabs>
          <w:tab w:val="num" w:pos="4860"/>
        </w:tabs>
        <w:ind w:left="4860" w:hanging="360"/>
      </w:pPr>
      <w:rPr>
        <w:rFonts w:ascii="Wingdings" w:hAnsi="Wingdings" w:hint="default"/>
      </w:rPr>
    </w:lvl>
    <w:lvl w:ilvl="3" w:tplc="08090001" w:tentative="1">
      <w:start w:val="1"/>
      <w:numFmt w:val="bullet"/>
      <w:lvlText w:val=""/>
      <w:lvlJc w:val="left"/>
      <w:pPr>
        <w:tabs>
          <w:tab w:val="num" w:pos="5580"/>
        </w:tabs>
        <w:ind w:left="5580" w:hanging="360"/>
      </w:pPr>
      <w:rPr>
        <w:rFonts w:ascii="Symbol" w:hAnsi="Symbol" w:hint="default"/>
      </w:rPr>
    </w:lvl>
    <w:lvl w:ilvl="4" w:tplc="08090003" w:tentative="1">
      <w:start w:val="1"/>
      <w:numFmt w:val="bullet"/>
      <w:lvlText w:val="o"/>
      <w:lvlJc w:val="left"/>
      <w:pPr>
        <w:tabs>
          <w:tab w:val="num" w:pos="6300"/>
        </w:tabs>
        <w:ind w:left="6300" w:hanging="360"/>
      </w:pPr>
      <w:rPr>
        <w:rFonts w:ascii="Courier New" w:hAnsi="Courier New" w:cs="Courier New" w:hint="default"/>
      </w:rPr>
    </w:lvl>
    <w:lvl w:ilvl="5" w:tplc="08090005" w:tentative="1">
      <w:start w:val="1"/>
      <w:numFmt w:val="bullet"/>
      <w:lvlText w:val=""/>
      <w:lvlJc w:val="left"/>
      <w:pPr>
        <w:tabs>
          <w:tab w:val="num" w:pos="7020"/>
        </w:tabs>
        <w:ind w:left="7020" w:hanging="360"/>
      </w:pPr>
      <w:rPr>
        <w:rFonts w:ascii="Wingdings" w:hAnsi="Wingdings" w:hint="default"/>
      </w:rPr>
    </w:lvl>
    <w:lvl w:ilvl="6" w:tplc="08090001" w:tentative="1">
      <w:start w:val="1"/>
      <w:numFmt w:val="bullet"/>
      <w:lvlText w:val=""/>
      <w:lvlJc w:val="left"/>
      <w:pPr>
        <w:tabs>
          <w:tab w:val="num" w:pos="7740"/>
        </w:tabs>
        <w:ind w:left="7740" w:hanging="360"/>
      </w:pPr>
      <w:rPr>
        <w:rFonts w:ascii="Symbol" w:hAnsi="Symbol" w:hint="default"/>
      </w:rPr>
    </w:lvl>
    <w:lvl w:ilvl="7" w:tplc="08090003" w:tentative="1">
      <w:start w:val="1"/>
      <w:numFmt w:val="bullet"/>
      <w:lvlText w:val="o"/>
      <w:lvlJc w:val="left"/>
      <w:pPr>
        <w:tabs>
          <w:tab w:val="num" w:pos="8460"/>
        </w:tabs>
        <w:ind w:left="8460" w:hanging="360"/>
      </w:pPr>
      <w:rPr>
        <w:rFonts w:ascii="Courier New" w:hAnsi="Courier New" w:cs="Courier New" w:hint="default"/>
      </w:rPr>
    </w:lvl>
    <w:lvl w:ilvl="8" w:tplc="08090005" w:tentative="1">
      <w:start w:val="1"/>
      <w:numFmt w:val="bullet"/>
      <w:lvlText w:val=""/>
      <w:lvlJc w:val="left"/>
      <w:pPr>
        <w:tabs>
          <w:tab w:val="num" w:pos="9180"/>
        </w:tabs>
        <w:ind w:left="9180" w:hanging="360"/>
      </w:pPr>
      <w:rPr>
        <w:rFonts w:ascii="Wingdings" w:hAnsi="Wingdings" w:hint="default"/>
      </w:rPr>
    </w:lvl>
  </w:abstractNum>
  <w:abstractNum w:abstractNumId="18" w15:restartNumberingAfterBreak="0">
    <w:nsid w:val="557119CF"/>
    <w:multiLevelType w:val="multilevel"/>
    <w:tmpl w:val="8A648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BD2694"/>
    <w:multiLevelType w:val="multilevel"/>
    <w:tmpl w:val="7F8235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C581F"/>
    <w:multiLevelType w:val="hybridMultilevel"/>
    <w:tmpl w:val="DD0482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5361BB"/>
    <w:multiLevelType w:val="hybridMultilevel"/>
    <w:tmpl w:val="AE683FB2"/>
    <w:lvl w:ilvl="0" w:tplc="25963BC8">
      <w:start w:val="3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3D12092"/>
    <w:multiLevelType w:val="hybridMultilevel"/>
    <w:tmpl w:val="AEAED4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7D94BF0"/>
    <w:multiLevelType w:val="hybridMultilevel"/>
    <w:tmpl w:val="07BE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D5024"/>
    <w:multiLevelType w:val="hybridMultilevel"/>
    <w:tmpl w:val="641E719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6E3406CA"/>
    <w:multiLevelType w:val="hybridMultilevel"/>
    <w:tmpl w:val="80E4329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42F6C"/>
    <w:multiLevelType w:val="hybridMultilevel"/>
    <w:tmpl w:val="21C4C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31034"/>
    <w:multiLevelType w:val="hybridMultilevel"/>
    <w:tmpl w:val="94CE46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51254E"/>
    <w:multiLevelType w:val="hybridMultilevel"/>
    <w:tmpl w:val="9D509B5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abstractNumId w:val="14"/>
  </w:num>
  <w:num w:numId="2">
    <w:abstractNumId w:val="19"/>
  </w:num>
  <w:num w:numId="3">
    <w:abstractNumId w:val="4"/>
  </w:num>
  <w:num w:numId="4">
    <w:abstractNumId w:val="12"/>
  </w:num>
  <w:num w:numId="5">
    <w:abstractNumId w:val="9"/>
  </w:num>
  <w:num w:numId="6">
    <w:abstractNumId w:val="1"/>
  </w:num>
  <w:num w:numId="7">
    <w:abstractNumId w:val="27"/>
  </w:num>
  <w:num w:numId="8">
    <w:abstractNumId w:val="20"/>
  </w:num>
  <w:num w:numId="9">
    <w:abstractNumId w:val="21"/>
  </w:num>
  <w:num w:numId="10">
    <w:abstractNumId w:val="5"/>
  </w:num>
  <w:num w:numId="11">
    <w:abstractNumId w:val="24"/>
  </w:num>
  <w:num w:numId="12">
    <w:abstractNumId w:val="15"/>
  </w:num>
  <w:num w:numId="13">
    <w:abstractNumId w:val="2"/>
  </w:num>
  <w:num w:numId="14">
    <w:abstractNumId w:val="28"/>
  </w:num>
  <w:num w:numId="15">
    <w:abstractNumId w:val="26"/>
  </w:num>
  <w:num w:numId="16">
    <w:abstractNumId w:val="1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25"/>
  </w:num>
  <w:num w:numId="23">
    <w:abstractNumId w:val="10"/>
  </w:num>
  <w:num w:numId="24">
    <w:abstractNumId w:val="6"/>
  </w:num>
  <w:num w:numId="25">
    <w:abstractNumId w:val="13"/>
  </w:num>
  <w:num w:numId="26">
    <w:abstractNumId w:val="23"/>
  </w:num>
  <w:num w:numId="27">
    <w:abstractNumId w:val="11"/>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74"/>
    <w:rsid w:val="000E57D4"/>
    <w:rsid w:val="001760C5"/>
    <w:rsid w:val="00196C84"/>
    <w:rsid w:val="00222441"/>
    <w:rsid w:val="00232411"/>
    <w:rsid w:val="00263A74"/>
    <w:rsid w:val="00285DCE"/>
    <w:rsid w:val="002C09E2"/>
    <w:rsid w:val="002D29DF"/>
    <w:rsid w:val="00396635"/>
    <w:rsid w:val="003C3D91"/>
    <w:rsid w:val="003D655F"/>
    <w:rsid w:val="003F75E8"/>
    <w:rsid w:val="004155BF"/>
    <w:rsid w:val="004553D2"/>
    <w:rsid w:val="0045609C"/>
    <w:rsid w:val="004717B2"/>
    <w:rsid w:val="004765A1"/>
    <w:rsid w:val="00485104"/>
    <w:rsid w:val="004A69F4"/>
    <w:rsid w:val="0053103C"/>
    <w:rsid w:val="00580F3A"/>
    <w:rsid w:val="005A1E86"/>
    <w:rsid w:val="005A4FFB"/>
    <w:rsid w:val="005A663F"/>
    <w:rsid w:val="005B3A20"/>
    <w:rsid w:val="00606769"/>
    <w:rsid w:val="00615A84"/>
    <w:rsid w:val="00616493"/>
    <w:rsid w:val="00641D90"/>
    <w:rsid w:val="00645787"/>
    <w:rsid w:val="007050C0"/>
    <w:rsid w:val="007811EC"/>
    <w:rsid w:val="007C259D"/>
    <w:rsid w:val="007C7D74"/>
    <w:rsid w:val="00853E34"/>
    <w:rsid w:val="00871D32"/>
    <w:rsid w:val="008F3E11"/>
    <w:rsid w:val="009070C3"/>
    <w:rsid w:val="00907C9B"/>
    <w:rsid w:val="009A1909"/>
    <w:rsid w:val="009C68D1"/>
    <w:rsid w:val="009D6006"/>
    <w:rsid w:val="009F5924"/>
    <w:rsid w:val="00A82DD6"/>
    <w:rsid w:val="00AF2416"/>
    <w:rsid w:val="00B16016"/>
    <w:rsid w:val="00BC7D05"/>
    <w:rsid w:val="00C0626C"/>
    <w:rsid w:val="00C2735D"/>
    <w:rsid w:val="00C34EE0"/>
    <w:rsid w:val="00C45D21"/>
    <w:rsid w:val="00D21AB6"/>
    <w:rsid w:val="00D729F2"/>
    <w:rsid w:val="00EA7B1E"/>
    <w:rsid w:val="00F155B9"/>
    <w:rsid w:val="00F81F07"/>
    <w:rsid w:val="00FB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F2744"/>
  <w15:docId w15:val="{DC5254BC-2B39-4E03-B256-132E49F3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D74"/>
    <w:pPr>
      <w:tabs>
        <w:tab w:val="center" w:pos="4513"/>
        <w:tab w:val="right" w:pos="9026"/>
      </w:tabs>
      <w:spacing w:before="200" w:after="200" w:line="276" w:lineRule="auto"/>
    </w:pPr>
    <w:rPr>
      <w:rFonts w:ascii="Calibri" w:eastAsia="Times New Roman" w:hAnsi="Calibri" w:cs="Times New Roman"/>
      <w:sz w:val="20"/>
      <w:szCs w:val="20"/>
      <w:lang w:bidi="en-US"/>
    </w:rPr>
  </w:style>
  <w:style w:type="character" w:customStyle="1" w:styleId="HeaderChar">
    <w:name w:val="Header Char"/>
    <w:basedOn w:val="DefaultParagraphFont"/>
    <w:link w:val="Header"/>
    <w:uiPriority w:val="99"/>
    <w:rsid w:val="007C7D74"/>
    <w:rPr>
      <w:rFonts w:ascii="Calibri" w:eastAsia="Times New Roman" w:hAnsi="Calibri" w:cs="Times New Roman"/>
      <w:sz w:val="20"/>
      <w:szCs w:val="20"/>
      <w:lang w:bidi="en-US"/>
    </w:rPr>
  </w:style>
  <w:style w:type="character" w:styleId="Emphasis">
    <w:name w:val="Emphasis"/>
    <w:basedOn w:val="DefaultParagraphFont"/>
    <w:qFormat/>
    <w:rsid w:val="007C7D74"/>
    <w:rPr>
      <w:i w:val="0"/>
      <w:iCs w:val="0"/>
      <w:caps/>
      <w:color w:val="243F60"/>
      <w:spacing w:val="5"/>
    </w:rPr>
  </w:style>
  <w:style w:type="character" w:styleId="Hyperlink">
    <w:name w:val="Hyperlink"/>
    <w:rsid w:val="00232411"/>
    <w:rPr>
      <w:color w:val="0000FF"/>
      <w:u w:val="single"/>
    </w:rPr>
  </w:style>
  <w:style w:type="paragraph" w:styleId="Footer">
    <w:name w:val="footer"/>
    <w:basedOn w:val="Normal"/>
    <w:link w:val="FooterChar"/>
    <w:rsid w:val="00232411"/>
    <w:pPr>
      <w:tabs>
        <w:tab w:val="center" w:pos="4153"/>
        <w:tab w:val="right" w:pos="8306"/>
      </w:tabs>
      <w:spacing w:after="0" w:line="240" w:lineRule="auto"/>
    </w:pPr>
    <w:rPr>
      <w:rFonts w:ascii="Times New Roman" w:eastAsia="Times New Roman" w:hAnsi="Times New Roman" w:cs="Times New Roman"/>
      <w:sz w:val="24"/>
      <w:szCs w:val="24"/>
      <w:lang w:val="en-IE" w:eastAsia="en-GB"/>
    </w:rPr>
  </w:style>
  <w:style w:type="character" w:customStyle="1" w:styleId="FooterChar">
    <w:name w:val="Footer Char"/>
    <w:basedOn w:val="DefaultParagraphFont"/>
    <w:link w:val="Footer"/>
    <w:rsid w:val="00232411"/>
    <w:rPr>
      <w:rFonts w:ascii="Times New Roman" w:eastAsia="Times New Roman" w:hAnsi="Times New Roman" w:cs="Times New Roman"/>
      <w:sz w:val="24"/>
      <w:szCs w:val="24"/>
      <w:lang w:val="en-IE" w:eastAsia="en-GB"/>
    </w:rPr>
  </w:style>
  <w:style w:type="paragraph" w:styleId="Title">
    <w:name w:val="Title"/>
    <w:basedOn w:val="Normal"/>
    <w:next w:val="Normal"/>
    <w:link w:val="TitleChar"/>
    <w:qFormat/>
    <w:rsid w:val="00232411"/>
    <w:pPr>
      <w:spacing w:before="720" w:after="200" w:line="276" w:lineRule="auto"/>
    </w:pPr>
    <w:rPr>
      <w:rFonts w:ascii="Calibri" w:eastAsia="Times New Roman" w:hAnsi="Calibri" w:cs="Times New Roman"/>
      <w:caps/>
      <w:color w:val="4F81BD"/>
      <w:spacing w:val="10"/>
      <w:kern w:val="28"/>
      <w:sz w:val="52"/>
      <w:szCs w:val="52"/>
      <w:lang w:bidi="en-US"/>
    </w:rPr>
  </w:style>
  <w:style w:type="character" w:customStyle="1" w:styleId="TitleChar">
    <w:name w:val="Title Char"/>
    <w:basedOn w:val="DefaultParagraphFont"/>
    <w:link w:val="Title"/>
    <w:rsid w:val="00232411"/>
    <w:rPr>
      <w:rFonts w:ascii="Calibri" w:eastAsia="Times New Roman" w:hAnsi="Calibri" w:cs="Times New Roman"/>
      <w:caps/>
      <w:color w:val="4F81BD"/>
      <w:spacing w:val="10"/>
      <w:kern w:val="28"/>
      <w:sz w:val="52"/>
      <w:szCs w:val="52"/>
      <w:lang w:bidi="en-US"/>
    </w:rPr>
  </w:style>
  <w:style w:type="paragraph" w:customStyle="1" w:styleId="Default">
    <w:name w:val="Default"/>
    <w:rsid w:val="00232411"/>
    <w:pPr>
      <w:autoSpaceDE w:val="0"/>
      <w:autoSpaceDN w:val="0"/>
      <w:adjustRightInd w:val="0"/>
      <w:spacing w:after="0" w:line="240" w:lineRule="auto"/>
    </w:pPr>
    <w:rPr>
      <w:rFonts w:ascii="Cambria" w:eastAsia="Times New Roman" w:hAnsi="Cambria" w:cs="Cambria"/>
      <w:color w:val="000000"/>
      <w:sz w:val="24"/>
      <w:szCs w:val="24"/>
      <w:lang w:val="en-GB" w:eastAsia="en-GB"/>
    </w:rPr>
  </w:style>
  <w:style w:type="character" w:styleId="FollowedHyperlink">
    <w:name w:val="FollowedHyperlink"/>
    <w:uiPriority w:val="99"/>
    <w:semiHidden/>
    <w:unhideWhenUsed/>
    <w:rsid w:val="00232411"/>
    <w:rPr>
      <w:color w:val="800080"/>
      <w:u w:val="single"/>
    </w:rPr>
  </w:style>
  <w:style w:type="paragraph" w:styleId="ListParagraph">
    <w:name w:val="List Paragraph"/>
    <w:basedOn w:val="Normal"/>
    <w:uiPriority w:val="34"/>
    <w:qFormat/>
    <w:rsid w:val="00232411"/>
    <w:pPr>
      <w:spacing w:after="200" w:line="276" w:lineRule="auto"/>
      <w:ind w:left="720"/>
      <w:contextualSpacing/>
    </w:pPr>
    <w:rPr>
      <w:rFonts w:ascii="Calibri" w:eastAsia="Calibri" w:hAnsi="Calibri" w:cs="Times New Roman"/>
      <w:lang w:val="en-IE"/>
    </w:rPr>
  </w:style>
  <w:style w:type="paragraph" w:styleId="BalloonText">
    <w:name w:val="Balloon Text"/>
    <w:basedOn w:val="Normal"/>
    <w:link w:val="BalloonTextChar"/>
    <w:uiPriority w:val="99"/>
    <w:semiHidden/>
    <w:unhideWhenUsed/>
    <w:rsid w:val="00232411"/>
    <w:pPr>
      <w:spacing w:after="0" w:line="240" w:lineRule="auto"/>
    </w:pPr>
    <w:rPr>
      <w:rFonts w:ascii="Tahoma" w:eastAsia="Times New Roman" w:hAnsi="Tahoma" w:cs="Tahoma"/>
      <w:sz w:val="16"/>
      <w:szCs w:val="16"/>
      <w:lang w:val="en-IE" w:eastAsia="en-GB"/>
    </w:rPr>
  </w:style>
  <w:style w:type="character" w:customStyle="1" w:styleId="BalloonTextChar">
    <w:name w:val="Balloon Text Char"/>
    <w:basedOn w:val="DefaultParagraphFont"/>
    <w:link w:val="BalloonText"/>
    <w:uiPriority w:val="99"/>
    <w:semiHidden/>
    <w:rsid w:val="00232411"/>
    <w:rPr>
      <w:rFonts w:ascii="Tahoma" w:eastAsia="Times New Roman" w:hAnsi="Tahoma" w:cs="Tahoma"/>
      <w:sz w:val="16"/>
      <w:szCs w:val="16"/>
      <w:lang w:val="en-IE" w:eastAsia="en-GB"/>
    </w:rPr>
  </w:style>
  <w:style w:type="character" w:styleId="Strong">
    <w:name w:val="Strong"/>
    <w:uiPriority w:val="22"/>
    <w:qFormat/>
    <w:rsid w:val="00232411"/>
    <w:rPr>
      <w:b/>
      <w:bCs/>
    </w:rPr>
  </w:style>
  <w:style w:type="paragraph" w:styleId="FootnoteText">
    <w:name w:val="footnote text"/>
    <w:basedOn w:val="Normal"/>
    <w:link w:val="FootnoteTextChar"/>
    <w:uiPriority w:val="99"/>
    <w:semiHidden/>
    <w:unhideWhenUsed/>
    <w:rsid w:val="00232411"/>
    <w:pPr>
      <w:spacing w:after="0" w:line="240" w:lineRule="auto"/>
    </w:pPr>
    <w:rPr>
      <w:rFonts w:ascii="Times New Roman" w:eastAsia="Times New Roman" w:hAnsi="Times New Roman" w:cs="Times New Roman"/>
      <w:sz w:val="20"/>
      <w:szCs w:val="20"/>
      <w:lang w:val="en-IE" w:eastAsia="en-GB"/>
    </w:rPr>
  </w:style>
  <w:style w:type="character" w:customStyle="1" w:styleId="FootnoteTextChar">
    <w:name w:val="Footnote Text Char"/>
    <w:basedOn w:val="DefaultParagraphFont"/>
    <w:link w:val="FootnoteText"/>
    <w:uiPriority w:val="99"/>
    <w:semiHidden/>
    <w:rsid w:val="00232411"/>
    <w:rPr>
      <w:rFonts w:ascii="Times New Roman" w:eastAsia="Times New Roman" w:hAnsi="Times New Roman" w:cs="Times New Roman"/>
      <w:sz w:val="20"/>
      <w:szCs w:val="20"/>
      <w:lang w:val="en-IE" w:eastAsia="en-GB"/>
    </w:rPr>
  </w:style>
  <w:style w:type="character" w:styleId="FootnoteReference">
    <w:name w:val="footnote reference"/>
    <w:uiPriority w:val="99"/>
    <w:semiHidden/>
    <w:unhideWhenUsed/>
    <w:rsid w:val="00232411"/>
    <w:rPr>
      <w:vertAlign w:val="superscript"/>
    </w:rPr>
  </w:style>
  <w:style w:type="paragraph" w:styleId="EndnoteText">
    <w:name w:val="endnote text"/>
    <w:basedOn w:val="Normal"/>
    <w:link w:val="EndnoteTextChar"/>
    <w:uiPriority w:val="99"/>
    <w:unhideWhenUsed/>
    <w:rsid w:val="00232411"/>
    <w:pPr>
      <w:spacing w:after="0" w:line="240" w:lineRule="auto"/>
    </w:pPr>
    <w:rPr>
      <w:rFonts w:ascii="Times New Roman" w:eastAsia="Times New Roman" w:hAnsi="Times New Roman" w:cs="Times New Roman"/>
      <w:sz w:val="20"/>
      <w:szCs w:val="20"/>
      <w:lang w:val="en-IE" w:eastAsia="en-GB"/>
    </w:rPr>
  </w:style>
  <w:style w:type="character" w:customStyle="1" w:styleId="EndnoteTextChar">
    <w:name w:val="Endnote Text Char"/>
    <w:basedOn w:val="DefaultParagraphFont"/>
    <w:link w:val="EndnoteText"/>
    <w:uiPriority w:val="99"/>
    <w:rsid w:val="00232411"/>
    <w:rPr>
      <w:rFonts w:ascii="Times New Roman" w:eastAsia="Times New Roman" w:hAnsi="Times New Roman" w:cs="Times New Roman"/>
      <w:sz w:val="20"/>
      <w:szCs w:val="20"/>
      <w:lang w:val="en-IE" w:eastAsia="en-GB"/>
    </w:rPr>
  </w:style>
  <w:style w:type="character" w:styleId="EndnoteReference">
    <w:name w:val="endnote reference"/>
    <w:uiPriority w:val="99"/>
    <w:semiHidden/>
    <w:unhideWhenUsed/>
    <w:rsid w:val="00232411"/>
    <w:rPr>
      <w:vertAlign w:val="superscript"/>
    </w:rPr>
  </w:style>
  <w:style w:type="table" w:styleId="TableGrid">
    <w:name w:val="Table Grid"/>
    <w:basedOn w:val="TableNormal"/>
    <w:uiPriority w:val="39"/>
    <w:rsid w:val="0090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22785">
      <w:bodyDiv w:val="1"/>
      <w:marLeft w:val="0"/>
      <w:marRight w:val="0"/>
      <w:marTop w:val="0"/>
      <w:marBottom w:val="0"/>
      <w:divBdr>
        <w:top w:val="none" w:sz="0" w:space="0" w:color="auto"/>
        <w:left w:val="none" w:sz="0" w:space="0" w:color="auto"/>
        <w:bottom w:val="none" w:sz="0" w:space="0" w:color="auto"/>
        <w:right w:val="none" w:sz="0" w:space="0" w:color="auto"/>
      </w:divBdr>
    </w:div>
    <w:div w:id="831873760">
      <w:bodyDiv w:val="1"/>
      <w:marLeft w:val="0"/>
      <w:marRight w:val="0"/>
      <w:marTop w:val="0"/>
      <w:marBottom w:val="0"/>
      <w:divBdr>
        <w:top w:val="none" w:sz="0" w:space="0" w:color="auto"/>
        <w:left w:val="none" w:sz="0" w:space="0" w:color="auto"/>
        <w:bottom w:val="none" w:sz="0" w:space="0" w:color="auto"/>
        <w:right w:val="none" w:sz="0" w:space="0" w:color="auto"/>
      </w:divBdr>
    </w:div>
    <w:div w:id="14137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6</cp:revision>
  <dcterms:created xsi:type="dcterms:W3CDTF">2021-06-01T10:50:00Z</dcterms:created>
  <dcterms:modified xsi:type="dcterms:W3CDTF">2021-06-05T10:53:00Z</dcterms:modified>
</cp:coreProperties>
</file>